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AEE0" w14:textId="77777777" w:rsidR="005E164B" w:rsidRPr="004A4D3D" w:rsidRDefault="005E164B" w:rsidP="00680A47">
      <w:pPr>
        <w:spacing w:line="480" w:lineRule="auto"/>
        <w:rPr>
          <w:rFonts w:ascii="Garamond" w:hAnsi="Garamond"/>
        </w:rPr>
      </w:pPr>
      <w:bookmarkStart w:id="0" w:name="_GoBack"/>
      <w:bookmarkEnd w:id="0"/>
      <w:r w:rsidRPr="004A4D3D">
        <w:rPr>
          <w:rFonts w:ascii="Garamond" w:hAnsi="Garamond"/>
        </w:rPr>
        <w:t>[1891, March 25]</w:t>
      </w:r>
    </w:p>
    <w:p w14:paraId="44F1ADE0" w14:textId="77777777" w:rsidR="005E164B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 xml:space="preserve">[From: </w:t>
      </w:r>
      <w:r w:rsidR="00680A47" w:rsidRPr="004A4D3D">
        <w:rPr>
          <w:rFonts w:ascii="Garamond" w:hAnsi="Garamond"/>
        </w:rPr>
        <w:t xml:space="preserve">Lord Alfred </w:t>
      </w:r>
      <w:r w:rsidRPr="004A4D3D">
        <w:rPr>
          <w:rFonts w:ascii="Garamond" w:hAnsi="Garamond"/>
        </w:rPr>
        <w:t>Tennyson]</w:t>
      </w:r>
    </w:p>
    <w:p w14:paraId="06A856CD" w14:textId="77777777" w:rsidR="005E164B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>[To: Sir Edwin Arnold]</w:t>
      </w:r>
      <w:r w:rsidR="00680A47" w:rsidRPr="004A4D3D">
        <w:rPr>
          <w:rStyle w:val="FootnoteReference"/>
          <w:rFonts w:ascii="Garamond" w:hAnsi="Garamond"/>
        </w:rPr>
        <w:footnoteReference w:id="1"/>
      </w:r>
    </w:p>
    <w:p w14:paraId="0316A395" w14:textId="19A97F1F" w:rsidR="005E164B" w:rsidRPr="004A4D3D" w:rsidRDefault="004A4D3D" w:rsidP="004A4D3D">
      <w:pPr>
        <w:spacing w:line="480" w:lineRule="auto"/>
        <w:jc w:val="right"/>
        <w:rPr>
          <w:rFonts w:ascii="Garamond" w:hAnsi="Garamond"/>
        </w:rPr>
      </w:pPr>
      <w:proofErr w:type="spellStart"/>
      <w:r w:rsidRPr="004A4D3D">
        <w:rPr>
          <w:rFonts w:ascii="Garamond" w:hAnsi="Garamond"/>
        </w:rPr>
        <w:t>Farringford</w:t>
      </w:r>
      <w:proofErr w:type="spellEnd"/>
      <w:r w:rsidRPr="004A4D3D">
        <w:rPr>
          <w:rFonts w:ascii="Garamond" w:hAnsi="Garamond"/>
        </w:rPr>
        <w:t>,</w:t>
      </w:r>
    </w:p>
    <w:p w14:paraId="4F11F2C0" w14:textId="167E990A" w:rsidR="004A4D3D" w:rsidRPr="004A4D3D" w:rsidRDefault="004A4D3D" w:rsidP="004A4D3D">
      <w:pPr>
        <w:spacing w:line="480" w:lineRule="auto"/>
        <w:jc w:val="right"/>
        <w:rPr>
          <w:rFonts w:ascii="Garamond" w:hAnsi="Garamond"/>
        </w:rPr>
      </w:pPr>
      <w:r w:rsidRPr="004A4D3D">
        <w:rPr>
          <w:rFonts w:ascii="Garamond" w:hAnsi="Garamond"/>
        </w:rPr>
        <w:t>Freshwater,</w:t>
      </w:r>
    </w:p>
    <w:p w14:paraId="0BCDBE50" w14:textId="3EF97F8C" w:rsidR="004A4D3D" w:rsidRPr="004A4D3D" w:rsidRDefault="004A4D3D" w:rsidP="004A4D3D">
      <w:pPr>
        <w:spacing w:line="480" w:lineRule="auto"/>
        <w:jc w:val="right"/>
        <w:rPr>
          <w:rFonts w:ascii="Garamond" w:hAnsi="Garamond"/>
        </w:rPr>
      </w:pPr>
      <w:proofErr w:type="gramStart"/>
      <w:r w:rsidRPr="004A4D3D">
        <w:rPr>
          <w:rFonts w:ascii="Garamond" w:hAnsi="Garamond"/>
        </w:rPr>
        <w:t>Isle of Wight.</w:t>
      </w:r>
      <w:proofErr w:type="gramEnd"/>
      <w:r w:rsidRPr="004A4D3D">
        <w:rPr>
          <w:rStyle w:val="FootnoteReference"/>
          <w:rFonts w:ascii="Garamond" w:hAnsi="Garamond"/>
        </w:rPr>
        <w:footnoteReference w:id="2"/>
      </w:r>
    </w:p>
    <w:p w14:paraId="0948DAF7" w14:textId="144B80C2" w:rsidR="004A4D3D" w:rsidRPr="004A4D3D" w:rsidRDefault="004A4D3D" w:rsidP="004A4D3D">
      <w:pPr>
        <w:spacing w:line="480" w:lineRule="auto"/>
        <w:jc w:val="right"/>
        <w:rPr>
          <w:rFonts w:ascii="Garamond" w:hAnsi="Garamond"/>
        </w:rPr>
      </w:pPr>
      <w:r w:rsidRPr="004A4D3D">
        <w:rPr>
          <w:rFonts w:ascii="Garamond" w:hAnsi="Garamond"/>
        </w:rPr>
        <w:t>March 25/91</w:t>
      </w:r>
    </w:p>
    <w:p w14:paraId="168E4BF2" w14:textId="77777777" w:rsidR="005E164B" w:rsidRPr="004A4D3D" w:rsidRDefault="00680A47" w:rsidP="00680A47">
      <w:pPr>
        <w:spacing w:line="480" w:lineRule="auto"/>
        <w:rPr>
          <w:rFonts w:ascii="Garamond" w:hAnsi="Garamond"/>
        </w:rPr>
      </w:pPr>
      <w:r w:rsidRPr="004A4D3D">
        <w:rPr>
          <w:rStyle w:val="FootnoteReference"/>
          <w:rFonts w:ascii="Garamond" w:hAnsi="Garamond"/>
        </w:rPr>
        <w:footnoteReference w:id="3"/>
      </w:r>
      <w:r w:rsidR="005E164B" w:rsidRPr="004A4D3D">
        <w:rPr>
          <w:rFonts w:ascii="Garamond" w:hAnsi="Garamond"/>
        </w:rPr>
        <w:t>Dear Sir Edwin Arnold</w:t>
      </w:r>
    </w:p>
    <w:p w14:paraId="6C043AF6" w14:textId="77777777" w:rsidR="005E164B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ab/>
        <w:t>We like your “Light of Asia”</w:t>
      </w:r>
      <w:r w:rsidR="00680A47" w:rsidRPr="004A4D3D">
        <w:rPr>
          <w:rStyle w:val="FootnoteReference"/>
          <w:rFonts w:ascii="Garamond" w:hAnsi="Garamond"/>
        </w:rPr>
        <w:footnoteReference w:id="4"/>
      </w:r>
      <w:r w:rsidRPr="004A4D3D">
        <w:rPr>
          <w:rFonts w:ascii="Garamond" w:hAnsi="Garamond"/>
        </w:rPr>
        <w:t xml:space="preserve"> so well that we had already possessed ourselves of your “Light of the World.”</w:t>
      </w:r>
      <w:r w:rsidR="00680A47" w:rsidRPr="004A4D3D">
        <w:rPr>
          <w:rStyle w:val="FootnoteReference"/>
          <w:rFonts w:ascii="Garamond" w:hAnsi="Garamond"/>
        </w:rPr>
        <w:footnoteReference w:id="5"/>
      </w:r>
      <w:r w:rsidRPr="004A4D3D">
        <w:rPr>
          <w:rFonts w:ascii="Garamond" w:hAnsi="Garamond"/>
        </w:rPr>
        <w:t xml:space="preserve"> The </w:t>
      </w:r>
      <w:proofErr w:type="gramStart"/>
      <w:r w:rsidRPr="004A4D3D">
        <w:rPr>
          <w:rFonts w:ascii="Garamond" w:hAnsi="Garamond"/>
        </w:rPr>
        <w:t xml:space="preserve">copy which you have been so kind as to send thru our common friend Mr. </w:t>
      </w:r>
      <w:r w:rsidRPr="006465E9">
        <w:rPr>
          <w:rFonts w:ascii="Garamond" w:hAnsi="Garamond"/>
        </w:rPr>
        <w:t>Fitzgerald</w:t>
      </w:r>
      <w:proofErr w:type="gramEnd"/>
      <w:r w:rsidR="000E50CA" w:rsidRPr="004A4D3D">
        <w:rPr>
          <w:rStyle w:val="FootnoteReference"/>
          <w:rFonts w:ascii="Garamond" w:hAnsi="Garamond"/>
        </w:rPr>
        <w:footnoteReference w:id="6"/>
      </w:r>
      <w:r w:rsidRPr="004A4D3D">
        <w:rPr>
          <w:rFonts w:ascii="Garamond" w:hAnsi="Garamond"/>
        </w:rPr>
        <w:t xml:space="preserve"> I shall value not only for itself but as your gift.</w:t>
      </w:r>
    </w:p>
    <w:p w14:paraId="475D320E" w14:textId="77777777" w:rsidR="004A4D3D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ab/>
        <w:t xml:space="preserve">Whenever you </w:t>
      </w:r>
    </w:p>
    <w:p w14:paraId="4E0A85F7" w14:textId="27E34FD3" w:rsidR="004A4D3D" w:rsidRPr="004A4D3D" w:rsidRDefault="004A4D3D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>[Page 2]</w:t>
      </w:r>
    </w:p>
    <w:p w14:paraId="7956DB1C" w14:textId="60F917C6" w:rsidR="005E164B" w:rsidRPr="004A4D3D" w:rsidRDefault="005E164B" w:rsidP="00680A47">
      <w:pPr>
        <w:spacing w:line="480" w:lineRule="auto"/>
        <w:rPr>
          <w:rFonts w:ascii="Garamond" w:hAnsi="Garamond"/>
        </w:rPr>
      </w:pPr>
      <w:proofErr w:type="gramStart"/>
      <w:r w:rsidRPr="004A4D3D">
        <w:rPr>
          <w:rFonts w:ascii="Garamond" w:hAnsi="Garamond"/>
        </w:rPr>
        <w:t>are</w:t>
      </w:r>
      <w:proofErr w:type="gramEnd"/>
      <w:r w:rsidRPr="004A4D3D">
        <w:rPr>
          <w:rFonts w:ascii="Garamond" w:hAnsi="Garamond"/>
        </w:rPr>
        <w:t xml:space="preserve"> near either of my homes</w:t>
      </w:r>
      <w:r w:rsidR="004A4D3D" w:rsidRPr="004A4D3D">
        <w:rPr>
          <w:rFonts w:ascii="Garamond" w:hAnsi="Garamond"/>
        </w:rPr>
        <w:t>,</w:t>
      </w:r>
      <w:r w:rsidR="00753135" w:rsidRPr="004A4D3D">
        <w:rPr>
          <w:rStyle w:val="FootnoteReference"/>
          <w:rFonts w:ascii="Garamond" w:hAnsi="Garamond"/>
        </w:rPr>
        <w:footnoteReference w:id="7"/>
      </w:r>
      <w:r w:rsidR="004A4D3D" w:rsidRPr="004A4D3D">
        <w:rPr>
          <w:rFonts w:ascii="Garamond" w:hAnsi="Garamond"/>
        </w:rPr>
        <w:t xml:space="preserve"> we shall be glad to welcome you. M</w:t>
      </w:r>
      <w:r w:rsidRPr="004A4D3D">
        <w:rPr>
          <w:rFonts w:ascii="Garamond" w:hAnsi="Garamond"/>
        </w:rPr>
        <w:t xml:space="preserve">y son </w:t>
      </w:r>
      <w:proofErr w:type="spellStart"/>
      <w:r w:rsidRPr="004A4D3D">
        <w:rPr>
          <w:rFonts w:ascii="Garamond" w:hAnsi="Garamond"/>
        </w:rPr>
        <w:t>Hallam</w:t>
      </w:r>
      <w:proofErr w:type="spellEnd"/>
      <w:r w:rsidR="00680A47" w:rsidRPr="004A4D3D">
        <w:rPr>
          <w:rStyle w:val="FootnoteReference"/>
          <w:rFonts w:ascii="Garamond" w:hAnsi="Garamond"/>
        </w:rPr>
        <w:footnoteReference w:id="8"/>
      </w:r>
      <w:r w:rsidRPr="004A4D3D">
        <w:rPr>
          <w:rFonts w:ascii="Garamond" w:hAnsi="Garamond"/>
        </w:rPr>
        <w:t xml:space="preserve"> writes this</w:t>
      </w:r>
      <w:r w:rsidR="004A4D3D" w:rsidRPr="004A4D3D">
        <w:rPr>
          <w:rFonts w:ascii="Garamond" w:hAnsi="Garamond"/>
        </w:rPr>
        <w:t>,</w:t>
      </w:r>
      <w:r w:rsidRPr="004A4D3D">
        <w:rPr>
          <w:rFonts w:ascii="Garamond" w:hAnsi="Garamond"/>
        </w:rPr>
        <w:t xml:space="preserve"> (as my wrist is somewhat painful</w:t>
      </w:r>
      <w:r w:rsidR="004A4D3D" w:rsidRPr="004A4D3D">
        <w:rPr>
          <w:rFonts w:ascii="Garamond" w:hAnsi="Garamond"/>
        </w:rPr>
        <w:t>,</w:t>
      </w:r>
      <w:r w:rsidRPr="004A4D3D">
        <w:rPr>
          <w:rFonts w:ascii="Garamond" w:hAnsi="Garamond"/>
        </w:rPr>
        <w:t>) which I sign</w:t>
      </w:r>
    </w:p>
    <w:p w14:paraId="1420C92B" w14:textId="77777777" w:rsidR="005E164B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  <w:t>Y faithfully</w:t>
      </w:r>
    </w:p>
    <w:p w14:paraId="4D839CA7" w14:textId="50BCE732" w:rsidR="00680A47" w:rsidRPr="004A4D3D" w:rsidRDefault="005E164B" w:rsidP="00680A47">
      <w:pPr>
        <w:spacing w:line="480" w:lineRule="auto"/>
        <w:rPr>
          <w:rFonts w:ascii="Garamond" w:hAnsi="Garamond"/>
        </w:rPr>
      </w:pP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</w:r>
      <w:r w:rsidRPr="004A4D3D">
        <w:rPr>
          <w:rFonts w:ascii="Garamond" w:hAnsi="Garamond"/>
        </w:rPr>
        <w:tab/>
        <w:t>Tennyson</w:t>
      </w:r>
    </w:p>
    <w:sectPr w:rsidR="00680A47" w:rsidRPr="004A4D3D" w:rsidSect="0070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97A9" w14:textId="77777777" w:rsidR="000E50CA" w:rsidRDefault="000E50CA" w:rsidP="00680A47">
      <w:r>
        <w:separator/>
      </w:r>
    </w:p>
  </w:endnote>
  <w:endnote w:type="continuationSeparator" w:id="0">
    <w:p w14:paraId="63BD986E" w14:textId="77777777" w:rsidR="000E50CA" w:rsidRDefault="000E50CA" w:rsidP="006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8085" w14:textId="77777777" w:rsidR="000E50CA" w:rsidRDefault="000E50CA" w:rsidP="00680A47">
      <w:r>
        <w:separator/>
      </w:r>
    </w:p>
  </w:footnote>
  <w:footnote w:type="continuationSeparator" w:id="0">
    <w:p w14:paraId="25BFAA71" w14:textId="77777777" w:rsidR="000E50CA" w:rsidRDefault="000E50CA" w:rsidP="00680A47">
      <w:r>
        <w:continuationSeparator/>
      </w:r>
    </w:p>
  </w:footnote>
  <w:footnote w:id="1">
    <w:p w14:paraId="4FC4143E" w14:textId="77777777" w:rsidR="000E50CA" w:rsidRPr="004A4D3D" w:rsidRDefault="000E50CA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Sir Edwin Arnold (1832-1904) was a poet and journalist who spent a number of years in India, first as </w:t>
      </w:r>
      <w:r w:rsidRPr="004A4D3D">
        <w:rPr>
          <w:rFonts w:ascii="Garamond" w:eastAsiaTheme="minorEastAsia" w:hAnsi="Garamond"/>
          <w:sz w:val="20"/>
          <w:szCs w:val="20"/>
        </w:rPr>
        <w:t>principal of the Deccan Sanskrit College at Poona, and then as a fellow of Bombay University</w:t>
      </w:r>
      <w:r w:rsidRPr="004A4D3D">
        <w:rPr>
          <w:rFonts w:ascii="Garamond" w:hAnsi="Garamond"/>
          <w:sz w:val="20"/>
          <w:szCs w:val="20"/>
        </w:rPr>
        <w:t xml:space="preserve"> (see the </w:t>
      </w:r>
      <w:r w:rsidRPr="004A4D3D">
        <w:rPr>
          <w:rFonts w:ascii="Garamond" w:hAnsi="Garamond"/>
          <w:i/>
          <w:sz w:val="20"/>
          <w:szCs w:val="20"/>
        </w:rPr>
        <w:t>Oxford Dictionary of National Biography</w:t>
      </w:r>
      <w:r w:rsidRPr="004A4D3D">
        <w:rPr>
          <w:rFonts w:ascii="Garamond" w:hAnsi="Garamond"/>
          <w:sz w:val="20"/>
          <w:szCs w:val="20"/>
        </w:rPr>
        <w:t xml:space="preserve"> [</w:t>
      </w:r>
      <w:r w:rsidRPr="004A4D3D">
        <w:rPr>
          <w:rFonts w:ascii="Garamond" w:hAnsi="Garamond"/>
          <w:i/>
          <w:sz w:val="20"/>
          <w:szCs w:val="20"/>
        </w:rPr>
        <w:t>ODNB</w:t>
      </w:r>
      <w:r w:rsidRPr="004A4D3D">
        <w:rPr>
          <w:rFonts w:ascii="Garamond" w:hAnsi="Garamond"/>
          <w:sz w:val="20"/>
          <w:szCs w:val="20"/>
        </w:rPr>
        <w:t>]). He was seriously considered for the poet laureateship when Tennyson died in 1892.</w:t>
      </w:r>
    </w:p>
  </w:footnote>
  <w:footnote w:id="2">
    <w:p w14:paraId="049EE9D7" w14:textId="3684A268" w:rsidR="004A4D3D" w:rsidRPr="004A4D3D" w:rsidRDefault="004A4D3D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The address is </w:t>
      </w:r>
      <w:r w:rsidR="00AA12A3">
        <w:rPr>
          <w:rFonts w:ascii="Garamond" w:hAnsi="Garamond"/>
          <w:sz w:val="20"/>
          <w:szCs w:val="20"/>
        </w:rPr>
        <w:t>im</w:t>
      </w:r>
      <w:r w:rsidRPr="004A4D3D">
        <w:rPr>
          <w:rFonts w:ascii="Garamond" w:hAnsi="Garamond"/>
          <w:sz w:val="20"/>
          <w:szCs w:val="20"/>
        </w:rPr>
        <w:t>printed in black on the upper right corner of the first page.</w:t>
      </w:r>
    </w:p>
  </w:footnote>
  <w:footnote w:id="3">
    <w:p w14:paraId="30495E1A" w14:textId="2BDA06F9" w:rsidR="000E50CA" w:rsidRPr="004A4D3D" w:rsidRDefault="000E50CA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</w:t>
      </w:r>
      <w:r w:rsidR="004A4D3D" w:rsidRPr="004A4D3D">
        <w:rPr>
          <w:rFonts w:ascii="Garamond" w:hAnsi="Garamond"/>
          <w:sz w:val="20"/>
          <w:szCs w:val="20"/>
        </w:rPr>
        <w:t>This letter is written on mourning paper. Tennyson’s younger brother, E</w:t>
      </w:r>
      <w:r w:rsidR="0035306C">
        <w:rPr>
          <w:rFonts w:ascii="Garamond" w:hAnsi="Garamond"/>
          <w:sz w:val="20"/>
          <w:szCs w:val="20"/>
        </w:rPr>
        <w:t xml:space="preserve">dward, had died in 1890 (see </w:t>
      </w:r>
      <w:r w:rsidR="004A4D3D" w:rsidRPr="004A4D3D">
        <w:rPr>
          <w:rFonts w:ascii="Garamond" w:hAnsi="Garamond"/>
          <w:i/>
          <w:sz w:val="20"/>
          <w:szCs w:val="20"/>
        </w:rPr>
        <w:t>ODNB</w:t>
      </w:r>
      <w:r w:rsidR="004A4D3D" w:rsidRPr="004A4D3D">
        <w:rPr>
          <w:rFonts w:ascii="Garamond" w:hAnsi="Garamond"/>
          <w:sz w:val="20"/>
          <w:szCs w:val="20"/>
        </w:rPr>
        <w:t>).</w:t>
      </w:r>
    </w:p>
  </w:footnote>
  <w:footnote w:id="4">
    <w:p w14:paraId="09ABD22E" w14:textId="77777777" w:rsidR="000E50CA" w:rsidRPr="004A4D3D" w:rsidRDefault="000E50CA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Published in 1879, </w:t>
      </w:r>
      <w:r w:rsidRPr="004A4D3D">
        <w:rPr>
          <w:rFonts w:ascii="Garamond" w:hAnsi="Garamond"/>
          <w:i/>
          <w:sz w:val="20"/>
          <w:szCs w:val="20"/>
        </w:rPr>
        <w:t>The Light of Asia, or The Great Renunciation</w:t>
      </w:r>
      <w:r w:rsidRPr="004A4D3D">
        <w:rPr>
          <w:rFonts w:ascii="Garamond" w:hAnsi="Garamond"/>
          <w:sz w:val="20"/>
          <w:szCs w:val="20"/>
        </w:rPr>
        <w:t xml:space="preserve"> is Arnold’s popular versified account of the life, character, and philosophy of the founder of Buddhism, Siddhartha Gautama.</w:t>
      </w:r>
    </w:p>
  </w:footnote>
  <w:footnote w:id="5">
    <w:p w14:paraId="1FAAF42C" w14:textId="485EC481" w:rsidR="000E50CA" w:rsidRPr="004A4D3D" w:rsidRDefault="000E50CA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</w:t>
      </w:r>
      <w:r w:rsidRPr="004A4D3D">
        <w:rPr>
          <w:rFonts w:ascii="Garamond" w:hAnsi="Garamond"/>
          <w:i/>
          <w:sz w:val="20"/>
          <w:szCs w:val="20"/>
        </w:rPr>
        <w:t>The Light of the World, or The Great Consummation</w:t>
      </w:r>
      <w:r w:rsidRPr="004A4D3D">
        <w:rPr>
          <w:rFonts w:ascii="Garamond" w:hAnsi="Garamond"/>
          <w:sz w:val="20"/>
          <w:szCs w:val="20"/>
        </w:rPr>
        <w:t xml:space="preserve"> is Arnold’s 1891 versified account of the life and teaching of Christ, which he published in attempt to placate the Christian critics of </w:t>
      </w:r>
      <w:r w:rsidRPr="004A4D3D">
        <w:rPr>
          <w:rFonts w:ascii="Garamond" w:hAnsi="Garamond"/>
          <w:i/>
          <w:sz w:val="20"/>
          <w:szCs w:val="20"/>
        </w:rPr>
        <w:t>The Light of Asia</w:t>
      </w:r>
      <w:r w:rsidRPr="004A4D3D">
        <w:rPr>
          <w:rFonts w:ascii="Garamond" w:hAnsi="Garamond"/>
          <w:sz w:val="20"/>
          <w:szCs w:val="20"/>
        </w:rPr>
        <w:t xml:space="preserve">. Unlike </w:t>
      </w:r>
      <w:r w:rsidR="00AA12A3">
        <w:rPr>
          <w:rFonts w:ascii="Garamond" w:hAnsi="Garamond"/>
          <w:sz w:val="20"/>
          <w:szCs w:val="20"/>
        </w:rPr>
        <w:t>his</w:t>
      </w:r>
      <w:r w:rsidRPr="004A4D3D">
        <w:rPr>
          <w:rFonts w:ascii="Garamond" w:hAnsi="Garamond"/>
          <w:sz w:val="20"/>
          <w:szCs w:val="20"/>
        </w:rPr>
        <w:t xml:space="preserve"> earlier volume, </w:t>
      </w:r>
      <w:r w:rsidRPr="004A4D3D">
        <w:rPr>
          <w:rFonts w:ascii="Garamond" w:hAnsi="Garamond"/>
          <w:i/>
          <w:sz w:val="20"/>
          <w:szCs w:val="20"/>
        </w:rPr>
        <w:t>The Light of the World</w:t>
      </w:r>
      <w:r w:rsidRPr="004A4D3D">
        <w:rPr>
          <w:rFonts w:ascii="Garamond" w:hAnsi="Garamond"/>
          <w:sz w:val="20"/>
          <w:szCs w:val="20"/>
        </w:rPr>
        <w:t xml:space="preserve"> “p</w:t>
      </w:r>
      <w:r w:rsidR="0035306C">
        <w:rPr>
          <w:rFonts w:ascii="Garamond" w:hAnsi="Garamond"/>
          <w:sz w:val="20"/>
          <w:szCs w:val="20"/>
        </w:rPr>
        <w:t>roved a signal failure” (see</w:t>
      </w:r>
      <w:r w:rsidRPr="004A4D3D">
        <w:rPr>
          <w:rFonts w:ascii="Garamond" w:hAnsi="Garamond"/>
          <w:sz w:val="20"/>
          <w:szCs w:val="20"/>
        </w:rPr>
        <w:t xml:space="preserve"> </w:t>
      </w:r>
      <w:r w:rsidRPr="004A4D3D">
        <w:rPr>
          <w:rFonts w:ascii="Garamond" w:hAnsi="Garamond"/>
          <w:i/>
          <w:sz w:val="20"/>
          <w:szCs w:val="20"/>
        </w:rPr>
        <w:t>ODNB</w:t>
      </w:r>
      <w:r w:rsidRPr="004A4D3D">
        <w:rPr>
          <w:rFonts w:ascii="Garamond" w:hAnsi="Garamond"/>
          <w:sz w:val="20"/>
          <w:szCs w:val="20"/>
        </w:rPr>
        <w:t>).</w:t>
      </w:r>
    </w:p>
  </w:footnote>
  <w:footnote w:id="6">
    <w:p w14:paraId="7C65FE11" w14:textId="3620CA2F" w:rsidR="000E50CA" w:rsidRPr="004A4D3D" w:rsidRDefault="000E50CA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</w:t>
      </w:r>
      <w:proofErr w:type="gramStart"/>
      <w:r w:rsidRPr="004A4D3D">
        <w:rPr>
          <w:rFonts w:ascii="Garamond" w:hAnsi="Garamond"/>
          <w:sz w:val="20"/>
          <w:szCs w:val="20"/>
        </w:rPr>
        <w:t>Possibly a relation of Edward FitzGerald (1809-1883), a friend of Tennyson from his time at</w:t>
      </w:r>
      <w:r w:rsidR="0035306C">
        <w:rPr>
          <w:rFonts w:ascii="Garamond" w:hAnsi="Garamond"/>
          <w:sz w:val="20"/>
          <w:szCs w:val="20"/>
        </w:rPr>
        <w:t xml:space="preserve"> Cambridge in the 1830s (see</w:t>
      </w:r>
      <w:r w:rsidRPr="004A4D3D">
        <w:rPr>
          <w:rFonts w:ascii="Garamond" w:hAnsi="Garamond"/>
          <w:sz w:val="20"/>
          <w:szCs w:val="20"/>
        </w:rPr>
        <w:t xml:space="preserve"> </w:t>
      </w:r>
      <w:r w:rsidRPr="004A4D3D">
        <w:rPr>
          <w:rFonts w:ascii="Garamond" w:hAnsi="Garamond"/>
          <w:i/>
          <w:sz w:val="20"/>
          <w:szCs w:val="20"/>
        </w:rPr>
        <w:t>ODNB</w:t>
      </w:r>
      <w:r w:rsidRPr="004A4D3D">
        <w:rPr>
          <w:rFonts w:ascii="Garamond" w:hAnsi="Garamond"/>
          <w:sz w:val="20"/>
          <w:szCs w:val="20"/>
        </w:rPr>
        <w:t>).</w:t>
      </w:r>
      <w:proofErr w:type="gramEnd"/>
    </w:p>
  </w:footnote>
  <w:footnote w:id="7">
    <w:p w14:paraId="4E314EB2" w14:textId="40F68E81" w:rsidR="00753135" w:rsidRPr="004A4D3D" w:rsidRDefault="00753135">
      <w:pPr>
        <w:pStyle w:val="FootnoteText"/>
        <w:rPr>
          <w:rFonts w:ascii="Garamond" w:hAnsi="Garamond"/>
          <w:sz w:val="20"/>
          <w:szCs w:val="20"/>
        </w:rPr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Tennyson owned two homes: </w:t>
      </w:r>
      <w:proofErr w:type="spellStart"/>
      <w:r w:rsidRPr="004A4D3D">
        <w:rPr>
          <w:rFonts w:ascii="Garamond" w:hAnsi="Garamond"/>
          <w:sz w:val="20"/>
          <w:szCs w:val="20"/>
        </w:rPr>
        <w:t>Farringford</w:t>
      </w:r>
      <w:proofErr w:type="spellEnd"/>
      <w:r w:rsidRPr="004A4D3D">
        <w:rPr>
          <w:rFonts w:ascii="Garamond" w:hAnsi="Garamond"/>
          <w:sz w:val="20"/>
          <w:szCs w:val="20"/>
        </w:rPr>
        <w:t xml:space="preserve"> in Freshwater on the Isle of Wight, and </w:t>
      </w:r>
      <w:proofErr w:type="spellStart"/>
      <w:r w:rsidRPr="004A4D3D">
        <w:rPr>
          <w:rFonts w:ascii="Garamond" w:hAnsi="Garamond"/>
          <w:sz w:val="20"/>
          <w:szCs w:val="20"/>
        </w:rPr>
        <w:t>Aldworth</w:t>
      </w:r>
      <w:proofErr w:type="spellEnd"/>
      <w:r w:rsidRPr="004A4D3D">
        <w:rPr>
          <w:rFonts w:ascii="Garamond" w:hAnsi="Garamond"/>
          <w:sz w:val="20"/>
          <w:szCs w:val="20"/>
        </w:rPr>
        <w:t>,</w:t>
      </w:r>
      <w:r w:rsidR="0035306C">
        <w:rPr>
          <w:rFonts w:ascii="Garamond" w:hAnsi="Garamond"/>
          <w:sz w:val="20"/>
          <w:szCs w:val="20"/>
        </w:rPr>
        <w:t xml:space="preserve"> located near </w:t>
      </w:r>
      <w:proofErr w:type="spellStart"/>
      <w:r w:rsidR="0035306C">
        <w:rPr>
          <w:rFonts w:ascii="Garamond" w:hAnsi="Garamond"/>
          <w:sz w:val="20"/>
          <w:szCs w:val="20"/>
        </w:rPr>
        <w:t>Haslemere</w:t>
      </w:r>
      <w:proofErr w:type="spellEnd"/>
      <w:r w:rsidR="0035306C">
        <w:rPr>
          <w:rFonts w:ascii="Garamond" w:hAnsi="Garamond"/>
          <w:sz w:val="20"/>
          <w:szCs w:val="20"/>
        </w:rPr>
        <w:t xml:space="preserve"> (see</w:t>
      </w:r>
      <w:r w:rsidRPr="004A4D3D">
        <w:rPr>
          <w:rFonts w:ascii="Garamond" w:hAnsi="Garamond"/>
          <w:sz w:val="20"/>
          <w:szCs w:val="20"/>
        </w:rPr>
        <w:t xml:space="preserve"> </w:t>
      </w:r>
      <w:r w:rsidRPr="004A4D3D">
        <w:rPr>
          <w:rFonts w:ascii="Garamond" w:hAnsi="Garamond"/>
          <w:i/>
          <w:sz w:val="20"/>
          <w:szCs w:val="20"/>
        </w:rPr>
        <w:t>ODNB</w:t>
      </w:r>
      <w:r w:rsidRPr="004A4D3D">
        <w:rPr>
          <w:rFonts w:ascii="Garamond" w:hAnsi="Garamond"/>
          <w:sz w:val="20"/>
          <w:szCs w:val="20"/>
        </w:rPr>
        <w:t>).</w:t>
      </w:r>
    </w:p>
  </w:footnote>
  <w:footnote w:id="8">
    <w:p w14:paraId="3A545747" w14:textId="516FC1AD" w:rsidR="000E50CA" w:rsidRPr="00753135" w:rsidRDefault="000E50CA">
      <w:pPr>
        <w:pStyle w:val="FootnoteText"/>
      </w:pPr>
      <w:r w:rsidRPr="004A4D3D">
        <w:rPr>
          <w:rStyle w:val="FootnoteReference"/>
          <w:rFonts w:ascii="Garamond" w:hAnsi="Garamond"/>
          <w:sz w:val="20"/>
          <w:szCs w:val="20"/>
        </w:rPr>
        <w:footnoteRef/>
      </w:r>
      <w:r w:rsidRPr="004A4D3D">
        <w:rPr>
          <w:rFonts w:ascii="Garamond" w:hAnsi="Garamond"/>
          <w:sz w:val="20"/>
          <w:szCs w:val="20"/>
        </w:rPr>
        <w:t xml:space="preserve"> </w:t>
      </w:r>
      <w:proofErr w:type="spellStart"/>
      <w:r w:rsidR="00753135" w:rsidRPr="004A4D3D">
        <w:rPr>
          <w:rFonts w:ascii="Garamond" w:hAnsi="Garamond"/>
          <w:sz w:val="20"/>
          <w:szCs w:val="20"/>
        </w:rPr>
        <w:t>Hallam</w:t>
      </w:r>
      <w:proofErr w:type="spellEnd"/>
      <w:r w:rsidR="00753135" w:rsidRPr="004A4D3D">
        <w:rPr>
          <w:rFonts w:ascii="Garamond" w:hAnsi="Garamond"/>
          <w:sz w:val="20"/>
          <w:szCs w:val="20"/>
        </w:rPr>
        <w:t xml:space="preserve"> Tennyson (1852-1928) was the eldest s</w:t>
      </w:r>
      <w:r w:rsidR="0035306C">
        <w:rPr>
          <w:rFonts w:ascii="Garamond" w:hAnsi="Garamond"/>
          <w:sz w:val="20"/>
          <w:szCs w:val="20"/>
        </w:rPr>
        <w:t>on of the poet laureate (see</w:t>
      </w:r>
      <w:r w:rsidR="00753135" w:rsidRPr="004A4D3D">
        <w:rPr>
          <w:rFonts w:ascii="Garamond" w:hAnsi="Garamond"/>
          <w:sz w:val="20"/>
          <w:szCs w:val="20"/>
        </w:rPr>
        <w:t xml:space="preserve"> </w:t>
      </w:r>
      <w:r w:rsidR="00753135" w:rsidRPr="004A4D3D">
        <w:rPr>
          <w:rFonts w:ascii="Garamond" w:hAnsi="Garamond"/>
          <w:i/>
          <w:sz w:val="20"/>
          <w:szCs w:val="20"/>
        </w:rPr>
        <w:t>ODNB</w:t>
      </w:r>
      <w:r w:rsidR="00753135" w:rsidRPr="004A4D3D">
        <w:rPr>
          <w:rFonts w:ascii="Garamond" w:hAnsi="Garamond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4B"/>
    <w:rsid w:val="000B1486"/>
    <w:rsid w:val="000C1C21"/>
    <w:rsid w:val="000E50CA"/>
    <w:rsid w:val="001E4022"/>
    <w:rsid w:val="0035306C"/>
    <w:rsid w:val="00453FF1"/>
    <w:rsid w:val="00484D85"/>
    <w:rsid w:val="004A4D3D"/>
    <w:rsid w:val="00557B92"/>
    <w:rsid w:val="005E164B"/>
    <w:rsid w:val="006465E9"/>
    <w:rsid w:val="00680A47"/>
    <w:rsid w:val="0070641B"/>
    <w:rsid w:val="00753135"/>
    <w:rsid w:val="00AA12A3"/>
    <w:rsid w:val="00D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0F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4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0A47"/>
  </w:style>
  <w:style w:type="character" w:customStyle="1" w:styleId="FootnoteTextChar">
    <w:name w:val="Footnote Text Char"/>
    <w:basedOn w:val="DefaultParagraphFont"/>
    <w:link w:val="FootnoteText"/>
    <w:uiPriority w:val="99"/>
    <w:rsid w:val="00680A47"/>
    <w:rPr>
      <w:rFonts w:eastAsia="Calibri"/>
    </w:rPr>
  </w:style>
  <w:style w:type="character" w:styleId="FootnoteReference">
    <w:name w:val="footnote reference"/>
    <w:basedOn w:val="DefaultParagraphFont"/>
    <w:uiPriority w:val="99"/>
    <w:unhideWhenUsed/>
    <w:rsid w:val="00680A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4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80A47"/>
  </w:style>
  <w:style w:type="character" w:customStyle="1" w:styleId="FootnoteTextChar">
    <w:name w:val="Footnote Text Char"/>
    <w:basedOn w:val="DefaultParagraphFont"/>
    <w:link w:val="FootnoteText"/>
    <w:uiPriority w:val="99"/>
    <w:rsid w:val="00680A47"/>
    <w:rPr>
      <w:rFonts w:eastAsia="Calibri"/>
    </w:rPr>
  </w:style>
  <w:style w:type="character" w:styleId="FootnoteReference">
    <w:name w:val="footnote reference"/>
    <w:basedOn w:val="DefaultParagraphFont"/>
    <w:uiPriority w:val="99"/>
    <w:unhideWhenUsed/>
    <w:rsid w:val="00680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Sarna</dc:creator>
  <cp:keywords/>
  <dc:description/>
  <cp:lastModifiedBy>Nicole Bouchard</cp:lastModifiedBy>
  <cp:revision>2</cp:revision>
  <cp:lastPrinted>2015-09-17T19:19:00Z</cp:lastPrinted>
  <dcterms:created xsi:type="dcterms:W3CDTF">2015-11-05T21:04:00Z</dcterms:created>
  <dcterms:modified xsi:type="dcterms:W3CDTF">2015-11-05T21:04:00Z</dcterms:modified>
</cp:coreProperties>
</file>